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41" w:rsidRDefault="00935921">
      <w:pPr>
        <w:spacing w:before="160" w:after="8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324/2020. (VII. 1.) Korm. rendelet</w:t>
      </w:r>
      <w:bookmarkStart w:id="0" w:name="_GoBack"/>
      <w:bookmarkEnd w:id="0"/>
    </w:p>
    <w:p w:rsidR="00524E41" w:rsidRDefault="00935921">
      <w:pPr>
        <w:spacing w:before="160" w:after="80" w:line="240" w:lineRule="auto"/>
        <w:jc w:val="center"/>
      </w:pPr>
      <w:r>
        <w:t>Hatályos: 2020.07.10 -</w:t>
      </w:r>
    </w:p>
    <w:p w:rsidR="00524E41" w:rsidRDefault="00935921">
      <w:pPr>
        <w:spacing w:before="100" w:after="32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magyar nemzeti értékek és hungarikumok értéktárba való felvételéről és az értéktár bizottságok munkájának szabályozásáról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Kormány a magyar nemzeti értékekről és a hungarikumokról szóló 2012. évi XXX. törvény 19. §-ában kapott felhatalmazás alapján, az Alaptörvény 15. cikk (1) bekezdésében meghatározott feladatkörében eljárva a következőket rendeli el:</w:t>
      </w:r>
    </w:p>
    <w:p w:rsidR="00524E41" w:rsidRDefault="00935921">
      <w:pPr>
        <w:spacing w:before="16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1. A nemzeti értékek sza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kterületenkénti kategóriái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1. §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(1) A nemzeti értékek adatait a települési, tájegységi, megyei és ágazati értéktárakban, a Magyar Értéktárban, valamint a Hungarikumok Gyűjteményében a következő, szakterületenkénti kategóriák szerint kell azonosítani és ren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dszerezni: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a) agrár- és élelmiszergazdaság: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agrárium szellemi termékei és tárgyi javai beleértve az erdészet, halászat, vadászat, az élelmiszerek és állategészségügy területét;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b) egészség és életmód: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tudományos és népi megelőzés és gyógyászat, termés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zetgyógyászat szellemi termékei és tárgyi javai;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c) épített környezet: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környezettudatos építési munka eredményeként létrehozott, illetve elhatárolt épített része, amely elsődlegesen az egyéni és közösségi lét feltételeinek megteremtését szolgálja, valami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nt az embert körülvevő környezet fenntartásához kapcsolódó szellemi termékek;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d) ipari és műszaki megoldások: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ipari termelés – beleértve a kézműipart, kézművességet is – szellemi termékei és tárgyi javai;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e) kulturális örökség: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kulturális örökség szel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lemi és tárgyi javai;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f) nemzetiséghez kapcsolódó érték: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adott nemzetiség identitásához kötődő jelen- vagy múltbeli nyelvi, folklór, öntevékeny, illetve hivatásos előadó-művészeti, hitéleti,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alkotóművészeti hagyományainak összessége, valamint nemzetiség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által épített és tárgyi örökség;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g) sport: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fizikai erőnlét és a szellemi teljesítőképesség megtartását, fejlesztését szolgáló, a szabadidő eltöltéseként kötetlenül vagy szervezett formában, illetve versenyszerűen végzett testedzés vagy szellemi sportágb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an kifejtett tevékenység;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h) természeti környezet: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ember természetes környezetének tárgyi javai, valamint az embert körülvevő környezet fenntartásához kapcsolódó szellemi termékek;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i) turizmus és vendéglátás: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turizmus és a vendéglátás szellemi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termékei és tárgyi javai.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 külhoni magyarság értéktára – az egységesség érdekében – alkalmazhatja az (1) bekezdés szerinti kategorizálást.</w:t>
      </w:r>
    </w:p>
    <w:p w:rsidR="00524E41" w:rsidRDefault="00935921">
      <w:pPr>
        <w:spacing w:before="16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2. A települési, tájegységi és megyei értéktárak létrehozása és gondozása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2. §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(1) Ha a települési önkormányzat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nem hoz létre Települési, illetve Tájegységi Értéktár Bizottságot vagy nem bíz meg a magyar nemzeti értékekről és a hungarikumokról szóló 2012. évi XXX. törvény (a továbbiakban: Htv.) 3. § (4) bekezdése szerinti települési szervezetet, akkor a településhez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illetve tájegységhez kapcsolódó érték nemzeti értékként történő felvétele a Megyei Értéktár Bizottságnál kezdeményezhető.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 települési, a tájegységi értéktár létrehozására, valamint a Települési Értéktár Bizottság, illetve a Tájegységi Értéktár Bizot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tság megalakítására vagy a Htv. 3. § (4) bekezdése szerinti települési szervezetre vonatkozó döntésről a meghozatalát követő 30 napon belül a települési önkormányzat a Megyei Értéktár Bizottságot, a tájegységi értéktár székhelye szerinti önkormányzat a szé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khely szerinti Megyei Értéktár Bizottságot tájékoztatja.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(3) A települési, a tájegységi értéktár adataiban bekövetkezett változást a települési önkormányzat vagy a tájegységi értéktár székhelye szerinti önkormányzat 30 napon belül bejelenti az illetékes Me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gyei Értéktár Bizottságnak.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3. §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(1) Ha a megyei önkormányzat nem hoz létre Megyei Értéktár Bizottságot vagy nem bíz meg a Htv. 4. § (3) bekezdése szerinti megyei szervezetet, akkor a településhez vagy megyéhez kapcsolódó érték megyei értékként történő fel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vétele a Hungarikum Bizottságnál (a továbbiakban: HB) kezdeményezhető.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(2) A megyei értéktár létrehozására, a Megyei Értéktár Bizottság alakítására és a Htv. 4. § (3) bekezdése szerinti megyei szervezetre vonatkozó döntésről a meghozatalát követő 30 napon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belül a megyei önkormányzat tájékoztatja a HB-t. A megyei értéktár adataiban bekövetkezett változást a megyei önkormányzat 30 napon belül bejelenti a HB-nak.</w:t>
      </w:r>
    </w:p>
    <w:p w:rsidR="00524E41" w:rsidRDefault="00935921">
      <w:pPr>
        <w:spacing w:before="16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3. A Települési, Tájegységi és Megyei Értéktár Bizottság működése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4. §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(1) A Települési Értéktár B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izottság működési szabályzatát a települési, a Megyei Értéktár Bizottság működési szabályzatát a megyei önkormányzat határozza meg.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Települési, valamint a Megyei Értéktár Bizottság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legalább három tagból áll,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b)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00"/>
          <w:lang w:eastAsia="hu-HU"/>
        </w:rPr>
        <w:t>munkájába bevonja az országos és terület</w:t>
      </w:r>
      <w:r>
        <w:rPr>
          <w:rFonts w:ascii="Times New Roman" w:eastAsia="Times New Roman" w:hAnsi="Times New Roman"/>
          <w:sz w:val="24"/>
          <w:szCs w:val="24"/>
          <w:shd w:val="clear" w:color="auto" w:fill="FFFF00"/>
          <w:lang w:eastAsia="hu-HU"/>
        </w:rPr>
        <w:t>i közművelődési szakmai szolgáltatást biztosító szervezetet, továbbá bevonhatja az értékek gyűjtésével, megőrzésével, hasznosításával foglalkozó országosan és területi szinten működő szakmai, egyházi vagy civil szervezeteket, valamint egyéb szakértőket, és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c)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shd w:val="clear" w:color="auto" w:fill="FFFF00"/>
          <w:lang w:eastAsia="hu-HU"/>
        </w:rPr>
        <w:t>évente beszámol a tevékenységéről az alapító önkormányzatnak.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 Tájegységi Értéktár Bizottságot az alapító települési önkormányzatok megállapodása hozza létre, amelyben az önkormányzatok meghatározzák a Tájegységi Értéktár Bizottság finanszírozását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 működési feltételeit és a tagok megbízásának, </w:t>
      </w: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felmentésének rendjét. A Tájegységi Értéktár Bizottság meghatározza és elfogadja működési szabályzatát.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Tájegységi Értéktár Bizottság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legalább három tagból áll,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b)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munkájába bevonja az érintett település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eken működő közművelődési feladatellátás országos módszertani intézményét, továbbá az értékek gyűjtésével, megőrzésével, hasznosításával foglalkozó országos és területi illetékességű szakmai, egyházi vagy civil szervezeteket, valamint egyéb szakértőket, és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c)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évente beszámol a tevékenységéről az alapító települési önkormányzatoknak.</w:t>
      </w:r>
    </w:p>
    <w:p w:rsidR="00524E41" w:rsidRDefault="00935921">
      <w:pPr>
        <w:spacing w:before="16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4. A Külhoni Települési, a Külhoni Tájegységi és a Külhoni Nemzetrész Értéktár Bizottság működése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5. §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(1) A Külhoni Települési, a Külhoni Tájegységi, valamint a Külhoni Nemzetr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ész Értéktár Bizottság működési szabályzatát a külhoni szervezet határozhatja meg.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(2) </w:t>
      </w:r>
      <w:r>
        <w:rPr>
          <w:rFonts w:ascii="Times New Roman" w:eastAsia="Times New Roman" w:hAnsi="Times New Roman"/>
          <w:sz w:val="24"/>
          <w:szCs w:val="24"/>
          <w:shd w:val="clear" w:color="auto" w:fill="FFFF00"/>
          <w:lang w:eastAsia="hu-HU"/>
        </w:rPr>
        <w:t>A HB a hivatalos honlapján közzéteszi az (1) bekezdésben szereplő értéktár bizottságok szervezeti és működési szabályzatáról szóló mintaszabályzatot.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(3) A Külhoni Telep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ülési, a Külhoni Tájegységi, valamint a Külhoni Nemzetrész Értéktár Bizottság a munkájába bevonhatja az érintett településeken működő közművelődési feladatellátás országos módszertani intézményét, továbbá az értékek gyűjtésével, megőrzésével, hasznosításáv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al foglalkozó országos és területi illetékességű szakmai, egyházi vagy civil szervezeteket.</w:t>
      </w:r>
    </w:p>
    <w:p w:rsidR="00524E41" w:rsidRDefault="00935921">
      <w:pPr>
        <w:spacing w:before="16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5. Ágazati értéktárak létrehozása és működése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6. §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egyes ágazatokért felelős miniszterek (a továbbiakban: miniszterek) az e rendelet hatálybalépésétől számított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30 napon belül létrehozzák az Ágazati Értéktár Bizottságot, és erről a létrehozást követő 10 munkanapon belül értesítik a HB elnökét.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7. §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(1) Az Ágazati Értéktár Bizottság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lastRenderedPageBreak/>
        <w:t>a)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munkájába bevonhatja az értékek gyűjtésével, megőrzésével, hasznosításával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foglalkozó országos és területi illetékességű szakmai, egyházi vagy civil szervezeteket, valamint más szakértőket, és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b)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évente beszámol tevékenységéről az ágazatért felelős miniszternek.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Az Ágazati Értéktár Bizottság működéséhez és feladatainak ellátá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sához szükséges pénzügyi, tárgyi és ügyviteli feltételeket – az általa jóváhagyott éves munka- és pénzügyi tervre figyelemmel – az ágazatért felelős miniszter által vezetett minisztérium költségvetésében kell biztosítani.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8. §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(1) A miniszterek a feladatkö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rükbe tartozó szakterületeken meghatározzák az egyes ágazati értéktárba foglalható nemzeti értékek körét.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(2) A miniszterek feladat- és hatáskörébe tartozó, egyéb – a magyar nemzeti értékekre és hungarikumokra vonatkozó szabályozástól eltérő – szabályozás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szerint már önállóan nyilvántartott, a Htv. 1. § (1) bekezdés 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m)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pontja alapján nemzeti értéknek minősíthető értékekről az ágazati értéktárak a következő adatokat tartják nyilván: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nemzeti érték neve,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b)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– ha jogszabály rendelkezik róla – a nemzeti ért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ék nyilvántartásáról rendelkező jogszabály száma,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c)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nemzeti értéket nyilvántartó adatbázis megnevezése, ha az adott nemzeti érték szerepel az adatbázisban.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(3) Országosan jelentős, konkrét földrajzi területhez kevésbé köthető – a (2) bekezdésben foglalt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akon kívüli – érték ágazati értéktárba történő felvételét bárki, az adott minisztérium honlapján közzétett nyomtatvány elektronikus vagy postai úton történő benyújtásával kezdeményezheti.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(4) Az ágazati értéktárba történő felvételt kezdeményező javaslat az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alábbi adatokat tartalmazza: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javaslattevő és a kapcsolattartó nyilatkozata az azonosító adatai kezeléséről,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lastRenderedPageBreak/>
        <w:t>b)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értéktárba felvételre javasolt nemzeti érték megnevezése, fellelhetősége, szakterületi besorolása és a besorolás indokolása,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c)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érték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tárba felvételre javasolt a nemzeti értéket tartalmazó értéktár megnevezése, a nemzeti érték felvételének dátuma,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d)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értéktárba felvételre javasolt a nemzeti érték rövid, szöveges bemutatása, egyedi jellemzőinek és történetének leírása,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e)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indokolás a j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elölt értéktárba történő felvétel megalapozottságáról,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f)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értéktárba felvételre javasolt nemzeti értékkel kapcsolatos információt megjelenítő források listája és – amennyiben rendelkezik vele – a nemzeti érték hivatalos weboldalának címe,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g)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értéktár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ba felvételre javasolt nemzeti érték fénykép- vagy audiovizuális dokumentációja,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h)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javaslattevő nyilatkozata a 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g)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pontban szereplő saját készítésű dokumentumok, és a benyújtott teljes dokumentáció korlátlan felhasználásáról,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i)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nem saját készítésű dokum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entumok javaslatba történő szerepeltetése esetén az adott dokumentum tulajdonosának hozzájáruló nyilatkozata a szabad felhasználásról,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j)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Htv. 1. § (1) bekezdés 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m)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pontjának való megfelelést alátámasztó további melléklet,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k)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szakértő, illetve szakmai, eg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yházi vagy civil szervezet támogató vagy ajánlólevele,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l)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szakterület kategóriák közül a javaslatra leginkább jellemző kategória megjelölése és a megjelölés rövid indokolása,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m)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értéktárba felvételre javasolt nemzeti érték értéktárba felvevő döntés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másolata, és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n)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nemzetiségi érték esetén a nemzetiséghez való kötődésének bemutatása.</w:t>
      </w:r>
    </w:p>
    <w:p w:rsidR="00524E41" w:rsidRDefault="00935921">
      <w:pPr>
        <w:spacing w:before="16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>6. A felvételre javasolt értékek települési, tájegységi vagy megyei értéktárba történő felvétele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9. §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(1) A felvételre javasolt érték települési, tájegységi vagy megyei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értéktárba történő felvételét </w:t>
      </w:r>
      <w:r>
        <w:rPr>
          <w:rFonts w:ascii="Times New Roman" w:eastAsia="Times New Roman" w:hAnsi="Times New Roman"/>
          <w:sz w:val="24"/>
          <w:szCs w:val="24"/>
          <w:shd w:val="clear" w:color="auto" w:fill="FFFF00"/>
          <w:lang w:eastAsia="hu-HU"/>
        </w:rPr>
        <w:t>bárki a HB hivatalos honlapján közzétett nyomtatvány elektronikus vagy postai úton történő benyújtásával kezdeményezheti.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(2) </w:t>
      </w:r>
      <w:r>
        <w:rPr>
          <w:rFonts w:ascii="Times New Roman" w:eastAsia="Times New Roman" w:hAnsi="Times New Roman"/>
          <w:sz w:val="24"/>
          <w:szCs w:val="24"/>
          <w:shd w:val="clear" w:color="auto" w:fill="FFFF00"/>
          <w:lang w:eastAsia="hu-HU"/>
        </w:rPr>
        <w:t xml:space="preserve">A nemzeti érték megyei értéktárba történő felvétele kezdeményezését megelőzően a felvételre </w:t>
      </w:r>
      <w:r>
        <w:rPr>
          <w:rFonts w:ascii="Times New Roman" w:eastAsia="Times New Roman" w:hAnsi="Times New Roman"/>
          <w:sz w:val="24"/>
          <w:szCs w:val="24"/>
          <w:shd w:val="clear" w:color="auto" w:fill="FFFF00"/>
          <w:lang w:eastAsia="hu-HU"/>
        </w:rPr>
        <w:t>javasolt érték települési, tájegységi értéktárba való felvétele szükséges.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(3) Az adott értéktárba történő felvételt kezdeményező javaslat a 8. § (4) bekezdésében meghatározott adatokat tartalmazza.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(4) </w:t>
      </w:r>
      <w:r>
        <w:rPr>
          <w:rFonts w:ascii="Times New Roman" w:eastAsia="Times New Roman" w:hAnsi="Times New Roman"/>
          <w:sz w:val="24"/>
          <w:szCs w:val="24"/>
          <w:shd w:val="clear" w:color="auto" w:fill="FFFF00"/>
          <w:lang w:eastAsia="hu-HU"/>
        </w:rPr>
        <w:t>A települési értéktár létrehozásának lehetőségével él</w:t>
      </w:r>
      <w:r>
        <w:rPr>
          <w:rFonts w:ascii="Times New Roman" w:eastAsia="Times New Roman" w:hAnsi="Times New Roman"/>
          <w:sz w:val="24"/>
          <w:szCs w:val="24"/>
          <w:shd w:val="clear" w:color="auto" w:fill="FFFF00"/>
          <w:lang w:eastAsia="hu-HU"/>
        </w:rPr>
        <w:t>ni nem kívánó települési önkormányzat a javaslatot köteles átvenni és haladéktalanul megküldeni a Megyei Értéktár Bizottság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vagy a Htv. 4. § (3) bekezdése szerinti megyei szervezet részére, amely a 10. § (1)–(4) bekezdése alapján dönt a települési értékkén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 történő felvételről, és felvétel esetén azt nyilvántartja települési értékként.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(5) A megyei értéktár létrehozásának lehetőségével élni nem kívánó megyei önkormányzat a javaslatot köteles átvenni és haladéktalanul megküldeni a HB elnöke részére. A HB dön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 a javaslat megyei értékként történő felvételéről, illetve felvétel esetén azt nyilvántartja megyei értékként.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10. §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(1) A Települési, a Tájegységi, a Megyei, az Ágazati </w:t>
      </w:r>
      <w:r>
        <w:rPr>
          <w:rFonts w:ascii="Times New Roman" w:eastAsia="Times New Roman" w:hAnsi="Times New Roman"/>
          <w:sz w:val="24"/>
          <w:szCs w:val="24"/>
          <w:shd w:val="clear" w:color="auto" w:fill="FFFF00"/>
          <w:lang w:eastAsia="hu-HU"/>
        </w:rPr>
        <w:t>Értéktár Bizottság, valamint a Htv. 3. § (4) bekezdése vagy a Htv. 4. § (3) bekezdése</w:t>
      </w:r>
      <w:r>
        <w:rPr>
          <w:rFonts w:ascii="Times New Roman" w:eastAsia="Times New Roman" w:hAnsi="Times New Roman"/>
          <w:sz w:val="24"/>
          <w:szCs w:val="24"/>
          <w:shd w:val="clear" w:color="auto" w:fill="FFFF00"/>
          <w:lang w:eastAsia="hu-HU"/>
        </w:rPr>
        <w:t xml:space="preserve"> szerinti intézmény vagy szervezet (a továbbiakban együtt: Bizottság) – figyelemmel a Htv.-ben és az e rendeletben foglalt előírásokra – megvizsgálja a hozzá beérkezett javaslatot.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(2) A Bizottság alaki vagy tartalmi hiányosság esetén a javaslattevőt </w:t>
      </w:r>
      <w:r>
        <w:rPr>
          <w:rFonts w:ascii="Times New Roman" w:eastAsia="Times New Roman" w:hAnsi="Times New Roman"/>
          <w:sz w:val="24"/>
          <w:szCs w:val="24"/>
          <w:shd w:val="clear" w:color="auto" w:fill="FFFF00"/>
          <w:lang w:eastAsia="hu-HU"/>
        </w:rPr>
        <w:t>egy a</w:t>
      </w:r>
      <w:r>
        <w:rPr>
          <w:rFonts w:ascii="Times New Roman" w:eastAsia="Times New Roman" w:hAnsi="Times New Roman"/>
          <w:sz w:val="24"/>
          <w:szCs w:val="24"/>
          <w:shd w:val="clear" w:color="auto" w:fill="FFFF00"/>
          <w:lang w:eastAsia="hu-HU"/>
        </w:rPr>
        <w:t>lkalommal hiánypótlásra hívja fel.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Ha a javaslattevő a hiánypótlásra való felhívásnak nem tesz eleget, vagy a hiányosság pótlásához szükséges idő figyelembevételével megállapított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határidő meghosszabbítását sem kéri, a Bizottság a javaslatot érdemben nem 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árgyalja meg, és erről a javaslattevőt értesíti.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(3) A hiánypótlásra való felhívás teljesítésének elmulasztását követően a javaslattevő ugyanazon nemzeti érték értéktárba történő felvételét </w:t>
      </w:r>
      <w:r>
        <w:rPr>
          <w:rFonts w:ascii="Times New Roman" w:eastAsia="Times New Roman" w:hAnsi="Times New Roman"/>
          <w:sz w:val="24"/>
          <w:szCs w:val="24"/>
          <w:shd w:val="clear" w:color="auto" w:fill="FFFF00"/>
          <w:lang w:eastAsia="hu-HU"/>
        </w:rPr>
        <w:t>ismételten kezdeményezheti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(4) A javaslat szerinti nemzeti érték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adatainak az ágazati, a megyei, a tájegységi és a települési értéktárak valamelyikébe való felvételéről </w:t>
      </w:r>
      <w:r>
        <w:rPr>
          <w:rFonts w:ascii="Times New Roman" w:eastAsia="Times New Roman" w:hAnsi="Times New Roman"/>
          <w:sz w:val="24"/>
          <w:szCs w:val="24"/>
          <w:shd w:val="clear" w:color="auto" w:fill="FFFF00"/>
          <w:lang w:eastAsia="hu-HU"/>
        </w:rPr>
        <w:t>a Bizottság, a javaslat benyújtását követő 90 napon belül dönt, és arról a javaslattevőt írásban értesíti. A döntésnek tartalmaznia kell legalább az ért</w:t>
      </w:r>
      <w:r>
        <w:rPr>
          <w:rFonts w:ascii="Times New Roman" w:eastAsia="Times New Roman" w:hAnsi="Times New Roman"/>
          <w:sz w:val="24"/>
          <w:szCs w:val="24"/>
          <w:shd w:val="clear" w:color="auto" w:fill="FFFF00"/>
          <w:lang w:eastAsia="hu-HU"/>
        </w:rPr>
        <w:t>éktár nevét, az érték pontos megnevezését, kategóriáját, valamint az érték felvételének dátumát.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(5) A települési, tájegységi, külhoni települési, külhoni tájegységi, megyei, külhoni nemzetrész 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>értéktárak természetes vagy jogi személy részére, annak kérésé</w:t>
      </w:r>
      <w:r>
        <w:rPr>
          <w:rFonts w:ascii="Times New Roman" w:eastAsia="Times New Roman" w:hAnsi="Times New Roman"/>
          <w:color w:val="FF0000"/>
          <w:sz w:val="24"/>
          <w:szCs w:val="24"/>
          <w:lang w:eastAsia="hu-HU"/>
        </w:rPr>
        <w:t>re az illetékességi körükbe tartozó értékek vonatkozásában korábbi döntésükről kivonatot adhatnak ki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11. §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(1) A 9. § (5) bekezdése szerinti esetben a nemzeti érték megyei értéktárba történő felvételét a HB hivatalos honlapján közzétett nyomtatványon elek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tronikus úton vagy postai út esetén elektronikus adathordozón mellékelve a HB titkársága részére történő benyújtással bárki kezdeményezheti.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 nemzeti érték megyei értéktárba történő felvétele kezdeményezését megelőzően, az adott nemzeti érték települé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si- vagy tájegységi értéktárba való felvétele szükséges.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(3) </w:t>
      </w:r>
      <w:r>
        <w:rPr>
          <w:rFonts w:ascii="Times New Roman" w:eastAsia="Times New Roman" w:hAnsi="Times New Roman"/>
          <w:sz w:val="24"/>
          <w:szCs w:val="24"/>
          <w:shd w:val="clear" w:color="auto" w:fill="FFFF00"/>
          <w:lang w:eastAsia="hu-HU"/>
        </w:rPr>
        <w:t>A megyei értéktárba történő felvételt kezdeményező javaslat a 8. § (4) bekezdésében meghatározott adatokat tartalmazza.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(4) A Htv. 16. § (1) bekezdése szerinti szakmai ágazati szakbizottság (a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továbbiakban: ágazati szakbizottság) megvizsgálja a javaslat Htv.-ben és az e rendeletben foglalt feltételeknek való megfelelőségét, és az azoknak való megfelelés alapján javaslatot tesz a HB részére a javaslat szerinti nemzeti érték alkalmasságáról és a 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egyei értéktár elemeként történő nyilvántartásba vételéről.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(5) Alaki vagy tartalmi hiányosságok esetén az ágazati szakbizottság a javaslattevőt hiánypótlására hívja fel. Ha a javaslattevő a hiánypótlásra való felhívásnak nem tesz eleget, vagy a hiányosság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pótlásához szükséges idő figyelembevételével megállapított határidő meghosszabbítását sem kéri, az ágazati szakbizottság a javaslatot nem terjeszti a HB elé és erről a javaslattevőt értesíti.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(6) A hiánypótlásra való felhívás teljesítésének elmulasztását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követően a javaslattevő ugyanazon nemzeti értéknek a megyei értéktárba történő felvételét ismételten kezdeményezheti.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(7) A HB dönt a javaslat szerinti nemzeti értéknek a megyei értéktárba való felvételéről, és arról a javaslattevőt értesíti.</w:t>
      </w:r>
    </w:p>
    <w:p w:rsidR="00524E41" w:rsidRDefault="00935921">
      <w:pPr>
        <w:spacing w:before="16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7. A Magyar É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rtéktárban nyilvántartott kiemelkedő nemzeti értékek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12. §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(1) A Htv. 8. §-a alapján kezdeményezett javaslatot a HB hivatalos honlapján közzétett nyomtatványon elektronikus úton vagy postai út esetén elektronikus adathordozón mellékelve kell benyújtani a H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 titkársága részére.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(2) A Magyar Értéktárba történő felvételt kezdeményező javaslat a 8. § (4) bekezdés 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a), c), d), f), h), i)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k)–n)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pontjaiban meghatározott adatokon és nyilatkozatokon kívül tartalmazza: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Magyar Értéktárba felvételre javasolt nem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zeti érték megnevezését, szakterületi besorolását és a besorolás indokolását,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b)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indokolást a Magyar Értéktárba történő felvétel megalapozottságáról, kitérve a nemzeti érték országos jelentőségének bemutatására,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c)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Magyar Értéktárba felvételre javasol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 nemzeti érték fényképét vagy audiovizuális dokumentációját, és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d)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Htv. 1. § (1) bekezdés 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f)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pontjának való megfelelést alátámasztó dokumentumokat.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(3) A HB titkára a javaslatot a nemzeti érték 1. §-ban meghatározott kategóriájának megfelelő ágazati sza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kbizottsághoz utalja.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(4) Az ágazati szakbizottság megvizsgálja a javaslat Htv.-ben és az e rendeletben foglalt feltételeknek való megfelelőségét, és az annak való megfelelés alapján javaslatot tesz a HB részére a javaslat szerinti nemzeti érték alkalmassá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gáról és a Magyar Értéktár elemeként történő nyilvántartásba vételéről.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(5) Alaki vagy tartalmi hiányosságok esetén az ágazati szakbizottság titkára a javaslattevőt hiánypótlására hívja fel. Ha a javaslattevő a hiánypótlásra való felhívásnak nem tesz elege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t, vagy a hiányosság pótlásához szükséges idő figyelembevételével megállapított határidő meghosszabbítását sem kéri, az ágazati szakbizottság a javaslatot nem terjeszti a HB elé, és erről a javaslattevőt értesíti.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(6) Az ágazati szakbizottságok titkári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feladatait a HB titkárságának munkatársai látják el.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(7) Az ágazati szakbizottság javaslatára a HB titkára szakértőt kérhet fel egyes, speciális szaktudást igénylő javaslatok véleményezéséhez.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(8) A felkért szakértő, illetve az ágazati szakbizottság titkár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 feladatait ellátó kormánytisztviselő díjazásban vagy személyi ösztönzési jellegű kifizetésben részesülhet.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(9) A hiánypótlásra való felhívás teljesítésének elmulasztását követően a javaslattevő ugyanazon nemzeti értéknek a Magyar Értéktárba történő felvé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telét ismételten kezdeményezheti.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(10) A javasolt nemzeti érték adatainak a Magyar Értéktárba való felvételéről, a javaslat módosításáról, kiegészítéséről vagy a javaslat elutasításáról a HB dönt, és arról a javaslattevőt írásban értesíti.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13. §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nemzeti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értékek köréből kiemelkedő nemzeti értékké minősített értékről a nemzeti érték gondozója, vagy az ilyen terméket előállító magánszemély vagy vállalkozás kérelmére a HB igazolást bocsát ki a Magyar Értéktárba történő felvételről.</w:t>
      </w:r>
    </w:p>
    <w:p w:rsidR="00524E41" w:rsidRDefault="00935921">
      <w:pPr>
        <w:spacing w:before="16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>8. Nemzeti érték hungarikum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má minősítése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14. §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(1) A Magyar Értéktárban nyilvántartott valamely kiemelkedő nemzeti érték hungarikummá minősítésére vonatkozó javaslatot a HB hivatalos honlapján közzétett nyomtatványon, elektronikus úton vagy postai út esetén elektronikus adathordozón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mellékelve kell benyújtani.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(2) A javaslat a 8. § (4) bekezdés 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a), c), d), f), h), i)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k)–n)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pontjaiban meghatározott adatokon és nyilatkozatokon kívül tartalmazza: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Hungarikumok Gyűjteményébe felvételre javasolt nemzeti érték adatait, megnevezését,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szakterületi besorolását és a besorolás indokolását,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b)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indokolást a Hungarikumok Gyűjteményébe történő felvétel megalapozottságáról, kitérve a nemzeti érték hazai és nemzetközi jelentőségének bemutatására,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c)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Hungarikumok Gyűjteményébe felvételre ja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vasolt nemzeti érték fényképét vagy audiovizuális dokumentációját és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d)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Htv. 1. § (1) bekezdés 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c)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pontjának való megfelelést alátámasztó dokumentumokat.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15. §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(1) A HB titkára a javaslatot a nemzeti érték kategóriája szerinti ágazati szakbizottsághoz uta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lja.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Az ágazati szakbizottság megvizsgálja a javaslat Htv.-ben és az e rendeletben foglalt feltételeknek való megfelelőségét, és annak való megfelelés alapján javaslatot tesz a HB részére a javaslat szerinti nemzeti érték Hungarikumok Gyűjteményébe tör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ténő bekerülésre.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(3) Alaki vagy tartalmi hiányosságok esetén az ágazati szakbizottság titkára a javaslattevőt a hiányok pótlására hívja fel. Ha a javaslattevő a hiánypótlásra való felhívásnak nem tesz eleget, vagy a hiányosság pótlásához szükséges idő </w:t>
      </w: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fig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yelembevételével megállapított határidő meghosszabbítását sem kéri, az ágazati szakbizottság a javaslatot nem terjeszti a HB elé, és erről a javaslattevőt értesíti.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(4) A szakbizottság javaslatára a HB titkára szakértőt kérhet fel egyes, speciális szaktudá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st igénylő javaslatok véleményezéséhez.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(5) A felkért szakértő díjazásban vagy személyi ösztönzési jellegű kifizetésben részesülhet.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(6) A hiánypótlásra való felhívás teljesítésének elmulasztását követően a javaslattevő ugyanazon kiemelkedő nemzeti értékne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 a Hungarikumok Gyűjteményébe történő felvételét ismételten kezdeményezheti a kiegészített javaslat benyújtásával.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(7) A HB jogosult az összetartozó, egymáshoz kapcsolható nemzeti értékek felvételére vonatkozó javaslatok egy javaslatba történő összevonásá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ra és a javaslat címének megváltoztatására.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(8) A javasolt nemzeti érték adatainak a Hungarikumok Gyűjteményébe való felvételéről vagy a javaslat elutasításáról a HB dönt, és arról a javaslattevőt írásban értesíti.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16. §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Magyar Értéktárból hungarikummá 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inősített értékekről a nemzeti érték gondozója, vagy az ilyen terméket előállító magánszemély vagy vállalkozás kérelmére a HB elismerő oklevelet bocsát ki.</w:t>
      </w:r>
    </w:p>
    <w:p w:rsidR="00524E41" w:rsidRDefault="00935921">
      <w:pPr>
        <w:spacing w:before="16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9. A nyilvántartás és a közzététel szabályai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17. §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(1) A nemzeti értékek 8. § (2) és (4) bekezdésébe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 foglalt adatait az 1. §-ban foglalt szakterületenkénti kategóriák szerint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ágazati, a megyei, a tájegységi és a települési értéktárban, a Magyar Értéktárban, valamint a Hungarikumok Gyűjteményében kell,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b)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külhoni települési, a külhoni tájegységi,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valamint a külhoni nemzetrész értéktárban lehet</w:t>
      </w:r>
    </w:p>
    <w:p w:rsidR="00524E41" w:rsidRDefault="00935921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nyilvántartani.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(2) Az uniós oltalom alatt álló nemzeti értékek és a nemzetközi elismerésben részesített nemzeti értékek esetében a nemzeti érték nevét, a nemzeti érték nyilvántartásáról rendelkező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jogszabály számát és a nemzeti értéket nyilvántartó adatbázis megnevezését kell az 1. §-ban foglalt szakterületenkénti kategóriák szerint nyilvántartani.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18. §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(1) A települési, a tájegységi, illetve a megyei értéktárban nyilvántartott nemzeti érték megnev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ezését a helyi önkormányzat az önkormányzat honlapján, a 10. § (4) bekezdése szerinti döntést követően, 8 napon belül közzéteszi.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(2) A külhoni nemzetrész értéktárban nyilvántartott nemzeti értékek megnevezését az adott külhoni nemzetrész értéktár saját ho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nlapján közzéteheti.</w:t>
      </w:r>
    </w:p>
    <w:p w:rsidR="00524E41" w:rsidRDefault="00935921">
      <w:pPr>
        <w:spacing w:before="100" w:after="20" w:line="240" w:lineRule="auto"/>
        <w:ind w:firstLine="18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(3) Az ágazati értéktárakban a 8. § (2) bekezdése szerint nyilvántartott, valamint az ágazati értéktárakba javaslat útján felvett nemzeti értékek megnevezését, a 10. § (4) bekezdése szerinti döntést követően az egyes ágazatokért felelő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 miniszterek az általuk vezetett minisztérium honlapján közzéteszik.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19. §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Magyar Értéktárban nyilvántartott kiemelkedő nemzeti értékek megnevezését a HB a nyilvántartásba vételt követő 8 napon belül a Htv. 17. § (1) bekezdés 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d)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pontja szerinti honlapon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közzéteszi.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20. §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Hungarikumok Gyűjteményben a 18. § (1) bekezdése szerint nyilvántartott hungarikumok megnevezését a HB a nyilvántartásba vételét követő 8 napon belül, a Htv. 17. § (2) bekezdés </w:t>
      </w:r>
      <w:r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d)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pontja szerint honlapon közzéteszi.</w:t>
      </w:r>
    </w:p>
    <w:p w:rsidR="00524E41" w:rsidRDefault="00935921">
      <w:pPr>
        <w:spacing w:before="16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10. Záró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rendelkezések</w:t>
      </w:r>
    </w:p>
    <w:p w:rsidR="00524E41" w:rsidRDefault="00935921">
      <w:pP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21. §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Ez a rendelet a kihirdetését követő nyolcadik napon lép hatályba.</w:t>
      </w:r>
    </w:p>
    <w:p w:rsidR="00524E41" w:rsidRDefault="00935921">
      <w:pPr>
        <w:pBdr>
          <w:left w:val="single" w:sz="36" w:space="3" w:color="FF0000"/>
        </w:pBdr>
        <w:spacing w:before="100" w:after="20" w:line="240" w:lineRule="auto"/>
        <w:ind w:firstLine="18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22. §</w:t>
      </w:r>
      <w:bookmarkStart w:id="1" w:name="foot_1_place"/>
      <w:r>
        <w:fldChar w:fldCharType="begin"/>
      </w:r>
      <w:r>
        <w:instrText xml:space="preserve"> HYPERLINK  "http://njt.hu/cgi_bin/njt_doc.cgi?docid=220411.385632#foot1" </w:instrText>
      </w:r>
      <w:r>
        <w:fldChar w:fldCharType="separate"/>
      </w:r>
      <w:r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t>1</w:t>
      </w:r>
      <w:r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vertAlign w:val="superscript"/>
          <w:lang w:eastAsia="hu-HU"/>
        </w:rPr>
        <w:fldChar w:fldCharType="end"/>
      </w:r>
      <w:bookmarkEnd w:id="1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24E41" w:rsidRDefault="00935921">
      <w:pPr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>
                <wp:extent cx="41614728" cy="1271"/>
                <wp:effectExtent l="0" t="0" r="28572" b="17779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4728" cy="1271"/>
                        </a:xfrm>
                        <a:prstGeom prst="rect">
                          <a:avLst/>
                        </a:prstGeom>
                        <a:noFill/>
                        <a:ln w="9528" cap="flat">
                          <a:solidFill>
                            <a:srgbClr val="A0A0A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1C797A9C" id="Horizontal Line 1" o:spid="_x0000_s1026" style="width:3276.75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" filled="f" strokecolor="#a0a0a0" strokeweight=".26467mm">
                <v:textbox inset="0,0,0,0"/>
                <w10:anchorlock/>
              </v:rect>
            </w:pict>
          </mc:Fallback>
        </mc:AlternateContent>
      </w:r>
    </w:p>
    <w:bookmarkStart w:id="2" w:name="foot1"/>
    <w:p w:rsidR="00524E41" w:rsidRDefault="00935921">
      <w:pPr>
        <w:pBdr>
          <w:left w:val="single" w:sz="36" w:space="3" w:color="FF0000"/>
        </w:pBdr>
        <w:spacing w:before="100" w:after="100" w:line="240" w:lineRule="auto"/>
        <w:jc w:val="both"/>
      </w:pPr>
      <w:r>
        <w:lastRenderedPageBreak/>
        <w:fldChar w:fldCharType="begin"/>
      </w:r>
      <w:r>
        <w:instrText xml:space="preserve"> HYPERLINK  "http://njt.hu/cgi_bin/njt_doc.cgi?docid=220411.385632#foot_1_place" </w:instrText>
      </w:r>
      <w:r>
        <w:fldChar w:fldCharType="separate"/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vertAlign w:val="superscript"/>
          <w:lang w:eastAsia="hu-HU"/>
        </w:rPr>
        <w:t>1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vertAlign w:val="superscript"/>
          <w:lang w:eastAsia="hu-HU"/>
        </w:rPr>
        <w:fldChar w:fldCharType="end"/>
      </w:r>
      <w:bookmarkEnd w:id="2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22. § a 2010: CXXX. törvény 12. § (2) bekezdése alapján hatályát vesztette.</w:t>
      </w:r>
    </w:p>
    <w:p w:rsidR="00524E41" w:rsidRDefault="00935921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hu-HU"/>
        </w:rPr>
        <w:t>Magyar Közlöny Lap- és Könyvkiadó Kft.</w:t>
      </w:r>
      <w:r>
        <w:rPr>
          <w:rFonts w:ascii="Times New Roman" w:eastAsia="Times New Roman" w:hAnsi="Times New Roman"/>
          <w:sz w:val="24"/>
          <w:szCs w:val="24"/>
          <w:lang w:eastAsia="hu-HU"/>
        </w:rPr>
        <w:br/>
      </w:r>
      <w:hyperlink r:id="rId6" w:history="1"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A Nemzeti Jogszabálytárban elérhető szövegek tekintetében a Közlö</w:t>
        </w:r>
        <w:r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hu-HU"/>
          </w:rPr>
          <w:t>nykiadó minden jogot fenntart!</w:t>
        </w:r>
      </w:hyperlink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524E41" w:rsidRDefault="00524E41"/>
    <w:sectPr w:rsidR="00524E4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21" w:rsidRDefault="00935921">
      <w:pPr>
        <w:spacing w:after="0" w:line="240" w:lineRule="auto"/>
      </w:pPr>
      <w:r>
        <w:separator/>
      </w:r>
    </w:p>
  </w:endnote>
  <w:endnote w:type="continuationSeparator" w:id="0">
    <w:p w:rsidR="00935921" w:rsidRDefault="0093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21" w:rsidRDefault="0093592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5921" w:rsidRDefault="00935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24E41"/>
    <w:rsid w:val="001642EE"/>
    <w:rsid w:val="00524E41"/>
    <w:rsid w:val="0093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4CAF67B-0CA1-4A1B-9E7C-FE5622FF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jt.hu/cgi_bin/njt_doc.cgi?docid=220411.38563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2841</Words>
  <Characters>19603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Koczurné Bencs Ilona</dc:creator>
  <dc:description/>
  <cp:lastModifiedBy>Kocsis Gábor András</cp:lastModifiedBy>
  <cp:revision>2</cp:revision>
  <dcterms:created xsi:type="dcterms:W3CDTF">2022-06-02T13:22:00Z</dcterms:created>
  <dcterms:modified xsi:type="dcterms:W3CDTF">2022-06-02T13:22:00Z</dcterms:modified>
</cp:coreProperties>
</file>