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C1" w:rsidRPr="00576991" w:rsidRDefault="003155C1" w:rsidP="003155C1">
      <w:pPr>
        <w:keepNext/>
        <w:spacing w:after="0" w:line="276" w:lineRule="auto"/>
        <w:ind w:left="284" w:hanging="284"/>
        <w:jc w:val="both"/>
        <w:outlineLvl w:val="0"/>
        <w:rPr>
          <w:rFonts w:ascii="Garamond" w:eastAsia="Times New Roman" w:hAnsi="Garamond" w:cs="Times New Roman"/>
          <w:b/>
          <w:smallCaps/>
          <w:sz w:val="24"/>
          <w:szCs w:val="24"/>
          <w:lang w:eastAsia="zh-CN"/>
        </w:rPr>
      </w:pPr>
      <w:r w:rsidRPr="00576991">
        <w:rPr>
          <w:rFonts w:ascii="Garamond" w:eastAsia="Times New Roman" w:hAnsi="Garamond" w:cs="Times New Roman"/>
          <w:b/>
          <w:smallCaps/>
          <w:sz w:val="24"/>
          <w:szCs w:val="24"/>
          <w:lang w:eastAsia="zh-CN"/>
        </w:rPr>
        <w:t>Támogatással kapcsolatos európai uniós rendelkezések</w:t>
      </w:r>
      <w:bookmarkStart w:id="0" w:name="_GoBack"/>
      <w:bookmarkEnd w:id="0"/>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A jelen pályázati felhívás alapján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1.o) (a továbbiakban 1407/2013/EU bizottsági rendelet) szabályai alapján lehet nyújtani.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A támogatottnak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A támogatott kijelenti, hogy – az 1407/2013/EU bizottsági rendelet 1. cikke (2) bekezdésének kivételével – a támogatást nem használja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lastRenderedPageBreak/>
        <w:t xml:space="preserve">Kizárt ágazatok/tevékenységek: </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a) a 104/2000/EK tanácsi rendelet hatálya alá tartozó, a halászati és akvakultúra ágazatban tevékenységet végző vállalkozásoknak nyújtott támogatás;</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b) a mezőgazdasági termékek elsődleges termelésével foglalkozó vállalkozások támogatása;</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c) a mezőgazdasági termékek feldolgozásával és forgalmazásával foglalkozó vállalkozások támogatása, amennyiben:</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ca) a támogatás összege az elsődleges termelőktől beszerzett vagy az érintett vállalkozások által forgalmazott ilyen termékek ára vagy mennyisége alapján kerül rögzítésre, vagy</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cb) a támogatás az elsődleges termelőknek való teljes vagy részleges továbbadásától függ;</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d) harmadik országokba vagy tagállamokba irányuló exporttal kapcsolatos tevékenységek támogatása, nevezetesen az exportált mennyiségekhez; értékesítési hálózat kialakításához és működtetéséhez vagy exporttevékenységgel összefüggésben felmerülő egyéb folyó kiadásokhoz közvetlenül kapcsolódó támogatás;</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e) az import áruk helyett belföldi áru használatához kötött támogatás;</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f) a közúti kereskedelmi árufuvarozást ellenszolgáltatás fejében végző vállalkozások számára nyújtott támogatás teherszállító járművek megvásárlására [3. cikk (2) bekezdés 2. albekezdés].</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Amennyiben egy vállalkozás a fenti a-c) pontokban említett ágazatban, valamint az 1407/2013/EU bizottsági rendelet alkalmazásának hatálya alá tartozó ágazatokban egyaránt végez tevékenységet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 az 1407/2013/EU bizottsági rendelet szerinti csekély összegű támogatásban.</w:t>
      </w:r>
    </w:p>
    <w:p w:rsidR="003155C1" w:rsidRPr="00576991" w:rsidRDefault="003155C1" w:rsidP="003155C1">
      <w:pPr>
        <w:spacing w:after="0"/>
        <w:jc w:val="both"/>
        <w:rPr>
          <w:rFonts w:ascii="Garamond" w:hAnsi="Garamond"/>
          <w:sz w:val="24"/>
          <w:szCs w:val="24"/>
        </w:rPr>
      </w:pPr>
      <w:r w:rsidRPr="00576991">
        <w:rPr>
          <w:rFonts w:ascii="Garamond" w:hAnsi="Garamond"/>
          <w:sz w:val="24"/>
          <w:szCs w:val="24"/>
        </w:rPr>
        <w:t>A támogatáshoz kapcsolódó iratokat az odaítélést követő 10 évig meg kell őrizni, és a támogatást nyújtó ilyen irányú felhívása esetén a támogatott köteles azokat bemutatni.</w:t>
      </w:r>
    </w:p>
    <w:p w:rsidR="003155C1" w:rsidRPr="00576991" w:rsidRDefault="003155C1" w:rsidP="003155C1">
      <w:pPr>
        <w:spacing w:after="0"/>
        <w:jc w:val="both"/>
        <w:rPr>
          <w:rFonts w:ascii="Garamond" w:hAnsi="Garamond"/>
          <w:sz w:val="24"/>
          <w:szCs w:val="24"/>
        </w:rPr>
      </w:pPr>
    </w:p>
    <w:p w:rsidR="00063B46" w:rsidRDefault="003155C1"/>
    <w:sectPr w:rsidR="00063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C1"/>
    <w:rsid w:val="003155C1"/>
    <w:rsid w:val="00466CC8"/>
    <w:rsid w:val="007628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E5A5-78A5-4D47-85E4-DD5F408F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55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3155C1"/>
    <w:rPr>
      <w:sz w:val="16"/>
      <w:szCs w:val="16"/>
    </w:rPr>
  </w:style>
  <w:style w:type="paragraph" w:styleId="Jegyzetszveg">
    <w:name w:val="annotation text"/>
    <w:basedOn w:val="Norml"/>
    <w:link w:val="JegyzetszvegChar"/>
    <w:uiPriority w:val="99"/>
    <w:semiHidden/>
    <w:unhideWhenUsed/>
    <w:rsid w:val="003155C1"/>
    <w:pPr>
      <w:spacing w:line="240" w:lineRule="auto"/>
    </w:pPr>
    <w:rPr>
      <w:sz w:val="20"/>
      <w:szCs w:val="20"/>
    </w:rPr>
  </w:style>
  <w:style w:type="character" w:customStyle="1" w:styleId="JegyzetszvegChar">
    <w:name w:val="Jegyzetszöveg Char"/>
    <w:basedOn w:val="Bekezdsalapbettpusa"/>
    <w:link w:val="Jegyzetszveg"/>
    <w:uiPriority w:val="99"/>
    <w:semiHidden/>
    <w:rsid w:val="003155C1"/>
    <w:rPr>
      <w:sz w:val="20"/>
      <w:szCs w:val="20"/>
    </w:rPr>
  </w:style>
  <w:style w:type="paragraph" w:styleId="Buborkszveg">
    <w:name w:val="Balloon Text"/>
    <w:basedOn w:val="Norml"/>
    <w:link w:val="BuborkszvegChar"/>
    <w:uiPriority w:val="99"/>
    <w:semiHidden/>
    <w:unhideWhenUsed/>
    <w:rsid w:val="003155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5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5367</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Kevi Zsuzsanna</dc:creator>
  <cp:keywords/>
  <dc:description/>
  <cp:lastModifiedBy>Dr. Kevi Zsuzsanna</cp:lastModifiedBy>
  <cp:revision>1</cp:revision>
  <dcterms:created xsi:type="dcterms:W3CDTF">2019-03-07T10:16:00Z</dcterms:created>
  <dcterms:modified xsi:type="dcterms:W3CDTF">2019-03-07T10:16:00Z</dcterms:modified>
</cp:coreProperties>
</file>